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2957" w14:textId="3ACAD87C" w:rsidR="007B7E8A" w:rsidRPr="00D1316A" w:rsidRDefault="00F514C6" w:rsidP="00D04403">
      <w:pPr>
        <w:pStyle w:val="Heading1"/>
      </w:pPr>
      <w:r w:rsidRPr="00D1316A">
        <w:t>OER at UNM</w:t>
      </w:r>
    </w:p>
    <w:p w14:paraId="12DFEDC8" w14:textId="02AD12A1" w:rsidR="00F514C6" w:rsidRPr="00D1316A" w:rsidRDefault="00F514C6" w:rsidP="00D04403">
      <w:pPr>
        <w:pStyle w:val="Heading2"/>
      </w:pPr>
      <w:r w:rsidRPr="00D1316A">
        <w:t>What?</w:t>
      </w:r>
    </w:p>
    <w:p w14:paraId="03CFB54F" w14:textId="41F37D04" w:rsidR="00F514C6" w:rsidRPr="00D1316A" w:rsidRDefault="00F514C6" w:rsidP="00D1316A">
      <w:r w:rsidRPr="00D1316A">
        <w:t xml:space="preserve">“Open Educational Resources (OER) are teaching and learning materials that you may freely use and reuse, without charge. That means they have been authored or created by an individual or organization that chooses to retain few, if any, ownership rights. For some of these resources, that means you can download the resource and share it with colleagues and students. For others, it may be that you can download a resource, edit it in some way, and then re-post it as a remixed work. OER often have a Creative Commons or GNU license that state specifically how the material may be used, reused, adapted, and shared.” </w:t>
      </w:r>
      <w:r w:rsidR="008C4DFC">
        <w:t>-</w:t>
      </w:r>
      <w:r w:rsidRPr="00D1316A">
        <w:t xml:space="preserve"> </w:t>
      </w:r>
      <w:hyperlink r:id="rId4" w:history="1">
        <w:r w:rsidRPr="008C4DFC">
          <w:rPr>
            <w:rStyle w:val="Hyperlink"/>
          </w:rPr>
          <w:t>OER Commons</w:t>
        </w:r>
      </w:hyperlink>
    </w:p>
    <w:p w14:paraId="18EA8991" w14:textId="19E05FDC" w:rsidR="00F514C6" w:rsidRPr="00D1316A" w:rsidRDefault="00F514C6" w:rsidP="00D1316A">
      <w:r w:rsidRPr="00D1316A">
        <w:t xml:space="preserve">Creative Commons licenses give everyone from individual creators to large institutions a standardized way to grant the public permission to use their creative work under copyright law. BY: credit must be given to the creator. NC: Only noncommercial uses of the work are permitted. ND: No derivatives or adaptations of the work are permitted. SA: Adaptations must be shared under the same terms. - </w:t>
      </w:r>
      <w:hyperlink r:id="rId5" w:history="1">
        <w:r w:rsidRPr="001157F0">
          <w:rPr>
            <w:rStyle w:val="Hyperlink"/>
          </w:rPr>
          <w:t>Creative Commons</w:t>
        </w:r>
      </w:hyperlink>
    </w:p>
    <w:p w14:paraId="44B04FF4" w14:textId="5C5284A2" w:rsidR="00F514C6" w:rsidRPr="00D1316A" w:rsidRDefault="00F514C6" w:rsidP="00D04403">
      <w:pPr>
        <w:pStyle w:val="Heading2"/>
      </w:pPr>
      <w:r w:rsidRPr="00D1316A">
        <w:t>OER at UNM</w:t>
      </w:r>
    </w:p>
    <w:p w14:paraId="64B72878" w14:textId="06615881" w:rsidR="00F514C6" w:rsidRPr="00D1316A" w:rsidRDefault="00D1316A" w:rsidP="00D1316A">
      <w:r w:rsidRPr="00D1316A">
        <w:t xml:space="preserve">UNM’s OER Program is a university-sponsored professional development program designed to support faculty with the adoption, adaptation, and creation of OER materials into their courses as a way to increase student success. We have created this program because we recognize that the authorship and development of OER materials requires unique effort and collaboration. We support our OER creators through funding, editorial and licensing guidance, technical design, and more. - </w:t>
      </w:r>
      <w:hyperlink r:id="rId6" w:history="1">
        <w:r w:rsidRPr="008C4DFC">
          <w:rPr>
            <w:rStyle w:val="Hyperlink"/>
          </w:rPr>
          <w:t xml:space="preserve">OER Grant Program @ UNM </w:t>
        </w:r>
        <w:proofErr w:type="spellStart"/>
        <w:r w:rsidRPr="008C4DFC">
          <w:rPr>
            <w:rStyle w:val="Hyperlink"/>
          </w:rPr>
          <w:t>Libguide</w:t>
        </w:r>
        <w:proofErr w:type="spellEnd"/>
      </w:hyperlink>
    </w:p>
    <w:p w14:paraId="3BA884BF" w14:textId="44FFD0F8" w:rsidR="008C4DFC" w:rsidRDefault="008C4DFC" w:rsidP="008C4DFC">
      <w:pPr>
        <w:pStyle w:val="Heading2"/>
      </w:pPr>
      <w:r>
        <w:t>Resources:</w:t>
      </w:r>
    </w:p>
    <w:p w14:paraId="450AF0C4" w14:textId="350FD699" w:rsidR="00D1316A" w:rsidRPr="00D1316A" w:rsidRDefault="00EB0733" w:rsidP="00D1316A">
      <w:hyperlink r:id="rId7" w:history="1">
        <w:r w:rsidR="00D1316A" w:rsidRPr="00D1316A">
          <w:rPr>
            <w:rStyle w:val="Hyperlink"/>
          </w:rPr>
          <w:t>NMOER.org</w:t>
        </w:r>
      </w:hyperlink>
      <w:r w:rsidR="00D1316A" w:rsidRPr="00D1316A">
        <w:t xml:space="preserve"> </w:t>
      </w:r>
    </w:p>
    <w:p w14:paraId="0B1F2E68" w14:textId="7C1013E9" w:rsidR="00D1316A" w:rsidRPr="00D1316A" w:rsidRDefault="00EB0733" w:rsidP="00D1316A">
      <w:hyperlink r:id="rId8" w:history="1">
        <w:r w:rsidR="00D1316A" w:rsidRPr="00D1316A">
          <w:rPr>
            <w:rStyle w:val="Hyperlink"/>
          </w:rPr>
          <w:t>oer@unm.edu</w:t>
        </w:r>
      </w:hyperlink>
    </w:p>
    <w:p w14:paraId="3111A0B9" w14:textId="261231F1" w:rsidR="00D1316A" w:rsidRPr="00D1316A" w:rsidRDefault="00EB0733" w:rsidP="00D1316A">
      <w:hyperlink r:id="rId9" w:history="1">
        <w:r w:rsidR="00D1316A" w:rsidRPr="00D1316A">
          <w:rPr>
            <w:rStyle w:val="Hyperlink"/>
          </w:rPr>
          <w:t>linktr.ee/NMOER</w:t>
        </w:r>
      </w:hyperlink>
    </w:p>
    <w:p w14:paraId="24BC62DA" w14:textId="1467E785" w:rsidR="00D04403" w:rsidRDefault="00D04403" w:rsidP="00D04403">
      <w:pPr>
        <w:pStyle w:val="Heading2"/>
      </w:pPr>
      <w:r>
        <w:t>Projects</w:t>
      </w:r>
    </w:p>
    <w:p w14:paraId="6A5D9A87" w14:textId="7DC25ED1" w:rsidR="00D1316A" w:rsidRPr="00D1316A" w:rsidRDefault="00D1316A" w:rsidP="00D04403">
      <w:pPr>
        <w:pStyle w:val="Heading3"/>
      </w:pPr>
      <w:r w:rsidRPr="00D1316A">
        <w:t>Swallowing and its Disorders Across the Lifespan</w:t>
      </w:r>
    </w:p>
    <w:p w14:paraId="23FE2F1F" w14:textId="77777777" w:rsidR="00D1316A" w:rsidRPr="00D1316A" w:rsidRDefault="00D1316A" w:rsidP="00D1316A">
      <w:r w:rsidRPr="00D1316A">
        <w:t>by Phyllis Palmer</w:t>
      </w:r>
    </w:p>
    <w:p w14:paraId="1391D99F" w14:textId="1C20A05C" w:rsidR="00D1316A" w:rsidRPr="00D1316A" w:rsidRDefault="00D1316A" w:rsidP="00D1316A">
      <w:r w:rsidRPr="00D1316A">
        <w:t>CLASS: SHS 517 | Dysphagia</w:t>
      </w:r>
    </w:p>
    <w:p w14:paraId="2AB4BBFF" w14:textId="7858121A" w:rsidR="00D1316A" w:rsidRPr="00D1316A" w:rsidRDefault="00D1316A" w:rsidP="00D1316A">
      <w:r w:rsidRPr="00D1316A">
        <w:t>Swallowing and its Disorders Across the Lifespan by Dr. Palmer offers a comprehensive exploration of the complexities of swallowing function and swallowing disorders, drawing from the author's extensive clinical expertise spanning over three decades. This interactive textbook is structured into four distinct parts. It covers essential topics such as anatomy and physiology, swallowing disorders, assessment techniques, and evidence-based treatment approaches, making it an invaluable resource for students and clinicians alike navigating the intricacies of dysphagia management across diverse age groups.</w:t>
      </w:r>
    </w:p>
    <w:p w14:paraId="1D9A9531" w14:textId="77777777" w:rsidR="00D1316A" w:rsidRPr="00D1316A" w:rsidRDefault="00D1316A" w:rsidP="00D04403">
      <w:pPr>
        <w:pStyle w:val="Heading3"/>
      </w:pPr>
      <w:r w:rsidRPr="00D1316A">
        <w:t>Chemistry 2e</w:t>
      </w:r>
    </w:p>
    <w:p w14:paraId="4E5A339E" w14:textId="69543213" w:rsidR="00D1316A" w:rsidRPr="00D1316A" w:rsidRDefault="00D1316A" w:rsidP="00D1316A">
      <w:r w:rsidRPr="00D1316A">
        <w:t>by Various Autho</w:t>
      </w:r>
      <w:r>
        <w:t>r</w:t>
      </w:r>
      <w:r w:rsidRPr="00D1316A">
        <w:t>s</w:t>
      </w:r>
    </w:p>
    <w:p w14:paraId="65BB5EB6" w14:textId="3DB857B2" w:rsidR="00D1316A" w:rsidRPr="00D1316A" w:rsidRDefault="00D1316A" w:rsidP="00D1316A">
      <w:r w:rsidRPr="00D1316A">
        <w:lastRenderedPageBreak/>
        <w:t>CLASSES: CHEM 1215 &amp; CHEM 1225 | General Chemistry for STEM Majors</w:t>
      </w:r>
    </w:p>
    <w:p w14:paraId="64091D75" w14:textId="74384236" w:rsidR="00D1316A" w:rsidRPr="00D1316A" w:rsidRDefault="00D1316A" w:rsidP="00D1316A">
      <w:r w:rsidRPr="00D1316A">
        <w:t>Chemistry 2e is designed to meet the scope and sequence requirements of the two-semester general chemistry course. The textbook provides an important opportunity for students to learn the core concepts of chemistry and understand how those concepts apply to their lives and the world around them. The book also includes a number of innovative features, including interactive exercises and real-world applications, designed to enhance student learning. The second edition has been revised to incorporate clearer, more current, and more dynamic explanations, while maintaining the same organization as the first edition. Substantial improvements have been made in the figures, illustrations, and example exercises that support the text narrative. Changes made in Chemistry 2e are described in the preface to help instructors transition to the second edition.</w:t>
      </w:r>
    </w:p>
    <w:p w14:paraId="692F6BFA" w14:textId="77777777" w:rsidR="00D1316A" w:rsidRPr="00D1316A" w:rsidRDefault="00D1316A" w:rsidP="00D04403">
      <w:pPr>
        <w:pStyle w:val="Heading3"/>
      </w:pPr>
      <w:r w:rsidRPr="00D1316A">
        <w:t>UNM Core Writing OER Collection</w:t>
      </w:r>
    </w:p>
    <w:p w14:paraId="5B4E501A" w14:textId="77777777" w:rsidR="00D1316A" w:rsidRPr="00D1316A" w:rsidRDefault="00D1316A" w:rsidP="00D1316A">
      <w:r w:rsidRPr="00D1316A">
        <w:t>by the UNM English Department</w:t>
      </w:r>
    </w:p>
    <w:p w14:paraId="2D511558" w14:textId="78027D71" w:rsidR="00D1316A" w:rsidRPr="00D1316A" w:rsidRDefault="00D1316A" w:rsidP="00D1316A">
      <w:r w:rsidRPr="00D1316A">
        <w:t>CLASSES: ENGL 1110, ENGL 1110X, ENGL 1110Y, ENGL 1120</w:t>
      </w:r>
    </w:p>
    <w:p w14:paraId="12935AF4" w14:textId="6B0B8B46" w:rsidR="00D1316A" w:rsidRPr="00D1316A" w:rsidRDefault="00D1316A" w:rsidP="00D1316A">
      <w:r w:rsidRPr="00D1316A">
        <w:t>This open textbook, created by instructors in the Core Writing Program at the University of New Mexico, is intended to help English 1110, 1110X/1110Y, and 1120 students analyze rhetorical situations and respond with appropriate genres and technologies. Regardless of your field of study, honing your writing skills—plus your reading and critical-thinking skills—gives you a more solid academic foundation. This textbook discusses ways to communicate effectively. You will develop insight into your own style, writing process, grammatical choices, and rhetorical situations. Knowing your rhetorical situation, or the circumstances under which you communicate, and knowing which tone, style, and genre will most effectively persuade your audience, will help you no matter what your intended major is. It is not enough to understand course material and summarize it on an exam. You will also be expected to engage seriously with new ideas by reflecting on them, analyzing them, critiquing them, making connections, drawing conclusions, or finding new ways of thinking about a given subject.</w:t>
      </w:r>
    </w:p>
    <w:p w14:paraId="098DE66A" w14:textId="77777777" w:rsidR="00D1316A" w:rsidRPr="00D1316A" w:rsidRDefault="00D1316A" w:rsidP="00D04403">
      <w:pPr>
        <w:pStyle w:val="Heading3"/>
      </w:pPr>
      <w:r w:rsidRPr="00D1316A">
        <w:t>Intermediate Spanish for Public Health</w:t>
      </w:r>
    </w:p>
    <w:p w14:paraId="23CD1DB1" w14:textId="77777777" w:rsidR="00D1316A" w:rsidRPr="00D1316A" w:rsidRDefault="00D1316A" w:rsidP="00D1316A">
      <w:r w:rsidRPr="00D1316A">
        <w:t>por Eva Rodríguez-González y Sarah Peceny</w:t>
      </w:r>
    </w:p>
    <w:p w14:paraId="34EADAC4" w14:textId="55026870" w:rsidR="00D1316A" w:rsidRPr="00D1316A" w:rsidRDefault="00D1316A" w:rsidP="00D1316A">
      <w:r w:rsidRPr="00D1316A">
        <w:t>CLASS: SPAN 2420 | Introduction to Medical Spanish</w:t>
      </w:r>
    </w:p>
    <w:p w14:paraId="586D6129" w14:textId="1AA22418" w:rsidR="00D1316A" w:rsidRPr="00D1316A" w:rsidRDefault="00D1316A" w:rsidP="00D1316A">
      <w:r w:rsidRPr="00D1316A">
        <w:t>This book covers introductory medical vocabulary with more intermediate grammar exercises for learners who may not yet be ready to take upper division Spanish coursework. The content of this book is designed to engage students in meaningful language learning experiences while exploring topics related to Public Health. Through multiple and diverse materials and activities, students will enhance their language skills in Spanish, critical thinking, and problem-solving abilities, preparing them for effective communication in Public Health contexts.</w:t>
      </w:r>
    </w:p>
    <w:p w14:paraId="594F7699" w14:textId="0602D980" w:rsidR="00D1316A" w:rsidRPr="00D1316A" w:rsidRDefault="00D1316A" w:rsidP="00D1316A">
      <w:r w:rsidRPr="00D1316A">
        <w:t xml:space="preserve">Este </w:t>
      </w:r>
      <w:proofErr w:type="spellStart"/>
      <w:r w:rsidRPr="00D1316A">
        <w:t>libro</w:t>
      </w:r>
      <w:proofErr w:type="spellEnd"/>
      <w:r w:rsidRPr="00D1316A">
        <w:t xml:space="preserve"> </w:t>
      </w:r>
      <w:proofErr w:type="spellStart"/>
      <w:r w:rsidRPr="00D1316A">
        <w:t>abarca</w:t>
      </w:r>
      <w:proofErr w:type="spellEnd"/>
      <w:r w:rsidRPr="00D1316A">
        <w:t xml:space="preserve"> </w:t>
      </w:r>
      <w:proofErr w:type="spellStart"/>
      <w:r w:rsidRPr="00D1316A">
        <w:t>vocabulario</w:t>
      </w:r>
      <w:proofErr w:type="spellEnd"/>
      <w:r w:rsidRPr="00D1316A">
        <w:t xml:space="preserve"> </w:t>
      </w:r>
      <w:proofErr w:type="spellStart"/>
      <w:r w:rsidRPr="00D1316A">
        <w:t>médico</w:t>
      </w:r>
      <w:proofErr w:type="spellEnd"/>
      <w:r w:rsidRPr="00D1316A">
        <w:t xml:space="preserve"> </w:t>
      </w:r>
      <w:proofErr w:type="spellStart"/>
      <w:r w:rsidRPr="00D1316A">
        <w:t>introductorio</w:t>
      </w:r>
      <w:proofErr w:type="spellEnd"/>
      <w:r w:rsidRPr="00D1316A">
        <w:t xml:space="preserve"> junto con </w:t>
      </w:r>
      <w:proofErr w:type="spellStart"/>
      <w:r w:rsidRPr="00D1316A">
        <w:t>ejercicios</w:t>
      </w:r>
      <w:proofErr w:type="spellEnd"/>
      <w:r w:rsidRPr="00D1316A">
        <w:t xml:space="preserve"> de </w:t>
      </w:r>
      <w:proofErr w:type="spellStart"/>
      <w:r w:rsidRPr="00D1316A">
        <w:t>gramática</w:t>
      </w:r>
      <w:proofErr w:type="spellEnd"/>
      <w:r w:rsidRPr="00D1316A">
        <w:t xml:space="preserve"> de </w:t>
      </w:r>
      <w:proofErr w:type="spellStart"/>
      <w:r w:rsidRPr="00D1316A">
        <w:t>nivel</w:t>
      </w:r>
      <w:proofErr w:type="spellEnd"/>
      <w:r w:rsidRPr="00D1316A">
        <w:t xml:space="preserve"> </w:t>
      </w:r>
      <w:proofErr w:type="spellStart"/>
      <w:r w:rsidRPr="00D1316A">
        <w:t>intermedio</w:t>
      </w:r>
      <w:proofErr w:type="spellEnd"/>
      <w:r w:rsidRPr="00D1316A">
        <w:t xml:space="preserve"> para </w:t>
      </w:r>
      <w:proofErr w:type="spellStart"/>
      <w:r w:rsidRPr="00D1316A">
        <w:t>estudiantes</w:t>
      </w:r>
      <w:proofErr w:type="spellEnd"/>
      <w:r w:rsidRPr="00D1316A">
        <w:t xml:space="preserve"> que </w:t>
      </w:r>
      <w:proofErr w:type="spellStart"/>
      <w:r w:rsidRPr="00D1316A">
        <w:t>aún</w:t>
      </w:r>
      <w:proofErr w:type="spellEnd"/>
      <w:r w:rsidRPr="00D1316A">
        <w:t xml:space="preserve"> no </w:t>
      </w:r>
      <w:proofErr w:type="spellStart"/>
      <w:r w:rsidRPr="00D1316A">
        <w:t>estén</w:t>
      </w:r>
      <w:proofErr w:type="spellEnd"/>
      <w:r w:rsidRPr="00D1316A">
        <w:t xml:space="preserve"> </w:t>
      </w:r>
      <w:proofErr w:type="spellStart"/>
      <w:r w:rsidRPr="00D1316A">
        <w:t>listos</w:t>
      </w:r>
      <w:proofErr w:type="spellEnd"/>
      <w:r w:rsidRPr="00D1316A">
        <w:t xml:space="preserve"> para </w:t>
      </w:r>
      <w:proofErr w:type="spellStart"/>
      <w:r w:rsidRPr="00D1316A">
        <w:t>cursar</w:t>
      </w:r>
      <w:proofErr w:type="spellEnd"/>
      <w:r w:rsidRPr="00D1316A">
        <w:t xml:space="preserve"> </w:t>
      </w:r>
      <w:proofErr w:type="spellStart"/>
      <w:r w:rsidRPr="00D1316A">
        <w:t>asignaturas</w:t>
      </w:r>
      <w:proofErr w:type="spellEnd"/>
      <w:r w:rsidRPr="00D1316A">
        <w:t xml:space="preserve"> </w:t>
      </w:r>
      <w:proofErr w:type="spellStart"/>
      <w:r w:rsidRPr="00D1316A">
        <w:t>avanzadas</w:t>
      </w:r>
      <w:proofErr w:type="spellEnd"/>
      <w:r w:rsidRPr="00D1316A">
        <w:t xml:space="preserve"> de </w:t>
      </w:r>
      <w:proofErr w:type="spellStart"/>
      <w:r w:rsidRPr="00D1316A">
        <w:t>español</w:t>
      </w:r>
      <w:proofErr w:type="spellEnd"/>
      <w:r w:rsidRPr="00D1316A">
        <w:t xml:space="preserve">. El </w:t>
      </w:r>
      <w:proofErr w:type="spellStart"/>
      <w:r w:rsidRPr="00D1316A">
        <w:t>contenido</w:t>
      </w:r>
      <w:proofErr w:type="spellEnd"/>
      <w:r w:rsidRPr="00D1316A">
        <w:t xml:space="preserve"> de </w:t>
      </w:r>
      <w:proofErr w:type="spellStart"/>
      <w:r w:rsidRPr="00D1316A">
        <w:t>este</w:t>
      </w:r>
      <w:proofErr w:type="spellEnd"/>
      <w:r w:rsidRPr="00D1316A">
        <w:t xml:space="preserve"> </w:t>
      </w:r>
      <w:proofErr w:type="spellStart"/>
      <w:r w:rsidRPr="00D1316A">
        <w:t>libro</w:t>
      </w:r>
      <w:proofErr w:type="spellEnd"/>
      <w:r w:rsidRPr="00D1316A">
        <w:t xml:space="preserve"> </w:t>
      </w:r>
      <w:proofErr w:type="spellStart"/>
      <w:r w:rsidRPr="00D1316A">
        <w:t>está</w:t>
      </w:r>
      <w:proofErr w:type="spellEnd"/>
      <w:r w:rsidRPr="00D1316A">
        <w:t xml:space="preserve"> </w:t>
      </w:r>
      <w:proofErr w:type="spellStart"/>
      <w:r w:rsidRPr="00D1316A">
        <w:t>diseñado</w:t>
      </w:r>
      <w:proofErr w:type="spellEnd"/>
      <w:r w:rsidRPr="00D1316A">
        <w:t xml:space="preserve"> para </w:t>
      </w:r>
      <w:proofErr w:type="spellStart"/>
      <w:r w:rsidRPr="00D1316A">
        <w:t>involucrar</w:t>
      </w:r>
      <w:proofErr w:type="spellEnd"/>
      <w:r w:rsidRPr="00D1316A">
        <w:t xml:space="preserve"> a los </w:t>
      </w:r>
      <w:proofErr w:type="spellStart"/>
      <w:r w:rsidRPr="00D1316A">
        <w:t>estudiantes</w:t>
      </w:r>
      <w:proofErr w:type="spellEnd"/>
      <w:r w:rsidRPr="00D1316A">
        <w:t xml:space="preserve"> </w:t>
      </w:r>
      <w:proofErr w:type="spellStart"/>
      <w:r w:rsidRPr="00D1316A">
        <w:t>en</w:t>
      </w:r>
      <w:proofErr w:type="spellEnd"/>
      <w:r w:rsidRPr="00D1316A">
        <w:t xml:space="preserve"> </w:t>
      </w:r>
      <w:proofErr w:type="spellStart"/>
      <w:r w:rsidRPr="00D1316A">
        <w:t>experiencias</w:t>
      </w:r>
      <w:proofErr w:type="spellEnd"/>
      <w:r w:rsidRPr="00D1316A">
        <w:t xml:space="preserve"> </w:t>
      </w:r>
      <w:proofErr w:type="spellStart"/>
      <w:r w:rsidRPr="00D1316A">
        <w:t>significativas</w:t>
      </w:r>
      <w:proofErr w:type="spellEnd"/>
      <w:r w:rsidRPr="00D1316A">
        <w:t xml:space="preserve"> de </w:t>
      </w:r>
      <w:proofErr w:type="spellStart"/>
      <w:r w:rsidRPr="00D1316A">
        <w:t>aprendizaje</w:t>
      </w:r>
      <w:proofErr w:type="spellEnd"/>
      <w:r w:rsidRPr="00D1316A">
        <w:t xml:space="preserve"> del </w:t>
      </w:r>
      <w:proofErr w:type="spellStart"/>
      <w:r w:rsidRPr="00D1316A">
        <w:t>español</w:t>
      </w:r>
      <w:proofErr w:type="spellEnd"/>
      <w:r w:rsidRPr="00D1316A">
        <w:t xml:space="preserve"> a la </w:t>
      </w:r>
      <w:proofErr w:type="spellStart"/>
      <w:r w:rsidRPr="00D1316A">
        <w:t>vez</w:t>
      </w:r>
      <w:proofErr w:type="spellEnd"/>
      <w:r w:rsidRPr="00D1316A">
        <w:t xml:space="preserve"> que se </w:t>
      </w:r>
      <w:proofErr w:type="spellStart"/>
      <w:r w:rsidRPr="00D1316A">
        <w:t>exploran</w:t>
      </w:r>
      <w:proofErr w:type="spellEnd"/>
      <w:r w:rsidRPr="00D1316A">
        <w:t xml:space="preserve"> </w:t>
      </w:r>
      <w:proofErr w:type="spellStart"/>
      <w:r w:rsidRPr="00D1316A">
        <w:t>temas</w:t>
      </w:r>
      <w:proofErr w:type="spellEnd"/>
      <w:r w:rsidRPr="00D1316A">
        <w:t xml:space="preserve"> </w:t>
      </w:r>
      <w:proofErr w:type="spellStart"/>
      <w:r w:rsidRPr="00D1316A">
        <w:t>relacionados</w:t>
      </w:r>
      <w:proofErr w:type="spellEnd"/>
      <w:r w:rsidRPr="00D1316A">
        <w:t xml:space="preserve"> con la </w:t>
      </w:r>
      <w:proofErr w:type="spellStart"/>
      <w:r w:rsidRPr="00D1316A">
        <w:t>salud</w:t>
      </w:r>
      <w:proofErr w:type="spellEnd"/>
      <w:r w:rsidRPr="00D1316A">
        <w:t xml:space="preserve"> </w:t>
      </w:r>
      <w:proofErr w:type="spellStart"/>
      <w:r w:rsidRPr="00D1316A">
        <w:t>pública</w:t>
      </w:r>
      <w:proofErr w:type="spellEnd"/>
      <w:r w:rsidRPr="00D1316A">
        <w:t xml:space="preserve">. A </w:t>
      </w:r>
      <w:proofErr w:type="spellStart"/>
      <w:r w:rsidRPr="00D1316A">
        <w:t>través</w:t>
      </w:r>
      <w:proofErr w:type="spellEnd"/>
      <w:r w:rsidRPr="00D1316A">
        <w:t xml:space="preserve"> de </w:t>
      </w:r>
      <w:proofErr w:type="spellStart"/>
      <w:r w:rsidRPr="00D1316A">
        <w:t>exposición</w:t>
      </w:r>
      <w:proofErr w:type="spellEnd"/>
      <w:r w:rsidRPr="00D1316A">
        <w:t xml:space="preserve"> a </w:t>
      </w:r>
      <w:proofErr w:type="spellStart"/>
      <w:r w:rsidRPr="00D1316A">
        <w:t>materiales</w:t>
      </w:r>
      <w:proofErr w:type="spellEnd"/>
      <w:r w:rsidRPr="00D1316A">
        <w:t xml:space="preserve"> y </w:t>
      </w:r>
      <w:proofErr w:type="spellStart"/>
      <w:r w:rsidRPr="00D1316A">
        <w:t>actividades</w:t>
      </w:r>
      <w:proofErr w:type="spellEnd"/>
      <w:r w:rsidRPr="00D1316A">
        <w:t xml:space="preserve"> </w:t>
      </w:r>
      <w:proofErr w:type="spellStart"/>
      <w:r w:rsidRPr="00D1316A">
        <w:t>múltiples</w:t>
      </w:r>
      <w:proofErr w:type="spellEnd"/>
      <w:r w:rsidRPr="00D1316A">
        <w:t xml:space="preserve"> y </w:t>
      </w:r>
      <w:proofErr w:type="spellStart"/>
      <w:r w:rsidRPr="00D1316A">
        <w:t>diversas</w:t>
      </w:r>
      <w:proofErr w:type="spellEnd"/>
      <w:r w:rsidRPr="00D1316A">
        <w:t xml:space="preserve">, los </w:t>
      </w:r>
      <w:proofErr w:type="spellStart"/>
      <w:r w:rsidRPr="00D1316A">
        <w:t>estudiantes</w:t>
      </w:r>
      <w:proofErr w:type="spellEnd"/>
      <w:r w:rsidRPr="00D1316A">
        <w:t xml:space="preserve"> </w:t>
      </w:r>
      <w:proofErr w:type="spellStart"/>
      <w:r w:rsidRPr="00D1316A">
        <w:t>mejorarán</w:t>
      </w:r>
      <w:proofErr w:type="spellEnd"/>
      <w:r w:rsidRPr="00D1316A">
        <w:t xml:space="preserve"> sus </w:t>
      </w:r>
      <w:proofErr w:type="spellStart"/>
      <w:r w:rsidRPr="00D1316A">
        <w:t>habilidades</w:t>
      </w:r>
      <w:proofErr w:type="spellEnd"/>
      <w:r w:rsidRPr="00D1316A">
        <w:t xml:space="preserve"> </w:t>
      </w:r>
      <w:proofErr w:type="spellStart"/>
      <w:r w:rsidRPr="00D1316A">
        <w:t>lingüísticas</w:t>
      </w:r>
      <w:proofErr w:type="spellEnd"/>
      <w:r w:rsidRPr="00D1316A">
        <w:t xml:space="preserve"> </w:t>
      </w:r>
      <w:proofErr w:type="spellStart"/>
      <w:r w:rsidRPr="00D1316A">
        <w:t>en</w:t>
      </w:r>
      <w:proofErr w:type="spellEnd"/>
      <w:r w:rsidRPr="00D1316A">
        <w:t xml:space="preserve"> </w:t>
      </w:r>
      <w:proofErr w:type="spellStart"/>
      <w:r w:rsidRPr="00D1316A">
        <w:t>español</w:t>
      </w:r>
      <w:proofErr w:type="spellEnd"/>
      <w:r w:rsidRPr="00D1316A">
        <w:t xml:space="preserve">, </w:t>
      </w:r>
      <w:proofErr w:type="spellStart"/>
      <w:r w:rsidRPr="00D1316A">
        <w:t>así</w:t>
      </w:r>
      <w:proofErr w:type="spellEnd"/>
      <w:r w:rsidRPr="00D1316A">
        <w:t xml:space="preserve"> </w:t>
      </w:r>
      <w:proofErr w:type="spellStart"/>
      <w:r w:rsidRPr="00D1316A">
        <w:t>como</w:t>
      </w:r>
      <w:proofErr w:type="spellEnd"/>
      <w:r w:rsidRPr="00D1316A">
        <w:t xml:space="preserve"> </w:t>
      </w:r>
      <w:proofErr w:type="spellStart"/>
      <w:r w:rsidRPr="00D1316A">
        <w:t>su</w:t>
      </w:r>
      <w:proofErr w:type="spellEnd"/>
      <w:r w:rsidRPr="00D1316A">
        <w:t xml:space="preserve"> </w:t>
      </w:r>
      <w:proofErr w:type="spellStart"/>
      <w:r w:rsidRPr="00D1316A">
        <w:t>pensamiento</w:t>
      </w:r>
      <w:proofErr w:type="spellEnd"/>
      <w:r w:rsidRPr="00D1316A">
        <w:t xml:space="preserve"> </w:t>
      </w:r>
      <w:proofErr w:type="spellStart"/>
      <w:r w:rsidRPr="00D1316A">
        <w:t>crítico</w:t>
      </w:r>
      <w:proofErr w:type="spellEnd"/>
      <w:r w:rsidRPr="00D1316A">
        <w:t xml:space="preserve"> y sus </w:t>
      </w:r>
      <w:proofErr w:type="spellStart"/>
      <w:r w:rsidRPr="00D1316A">
        <w:t>capacidades</w:t>
      </w:r>
      <w:proofErr w:type="spellEnd"/>
      <w:r w:rsidRPr="00D1316A">
        <w:t xml:space="preserve"> de </w:t>
      </w:r>
      <w:proofErr w:type="spellStart"/>
      <w:r w:rsidRPr="00D1316A">
        <w:t>resolución</w:t>
      </w:r>
      <w:proofErr w:type="spellEnd"/>
      <w:r w:rsidRPr="00D1316A">
        <w:t xml:space="preserve"> de </w:t>
      </w:r>
      <w:proofErr w:type="spellStart"/>
      <w:r w:rsidRPr="00D1316A">
        <w:t>problemas</w:t>
      </w:r>
      <w:proofErr w:type="spellEnd"/>
      <w:r w:rsidRPr="00D1316A">
        <w:t xml:space="preserve">, </w:t>
      </w:r>
      <w:proofErr w:type="spellStart"/>
      <w:r w:rsidRPr="00D1316A">
        <w:t>preparándolos</w:t>
      </w:r>
      <w:proofErr w:type="spellEnd"/>
      <w:r w:rsidRPr="00D1316A">
        <w:t xml:space="preserve"> para una </w:t>
      </w:r>
      <w:proofErr w:type="spellStart"/>
      <w:r w:rsidRPr="00D1316A">
        <w:t>comunicación</w:t>
      </w:r>
      <w:proofErr w:type="spellEnd"/>
      <w:r w:rsidRPr="00D1316A">
        <w:t xml:space="preserve"> </w:t>
      </w:r>
      <w:proofErr w:type="spellStart"/>
      <w:r w:rsidRPr="00D1316A">
        <w:t>efectiva</w:t>
      </w:r>
      <w:proofErr w:type="spellEnd"/>
      <w:r w:rsidRPr="00D1316A">
        <w:t xml:space="preserve"> </w:t>
      </w:r>
      <w:proofErr w:type="spellStart"/>
      <w:r w:rsidRPr="00D1316A">
        <w:t>en</w:t>
      </w:r>
      <w:proofErr w:type="spellEnd"/>
      <w:r w:rsidRPr="00D1316A">
        <w:t xml:space="preserve"> </w:t>
      </w:r>
      <w:proofErr w:type="spellStart"/>
      <w:r w:rsidRPr="00D1316A">
        <w:t>contextos</w:t>
      </w:r>
      <w:proofErr w:type="spellEnd"/>
      <w:r w:rsidRPr="00D1316A">
        <w:t xml:space="preserve"> de </w:t>
      </w:r>
      <w:proofErr w:type="spellStart"/>
      <w:r w:rsidRPr="00D1316A">
        <w:t>salud</w:t>
      </w:r>
      <w:proofErr w:type="spellEnd"/>
      <w:r w:rsidRPr="00D1316A">
        <w:t xml:space="preserve"> </w:t>
      </w:r>
      <w:proofErr w:type="spellStart"/>
      <w:r w:rsidRPr="00D1316A">
        <w:t>pública</w:t>
      </w:r>
      <w:proofErr w:type="spellEnd"/>
      <w:r w:rsidRPr="00D1316A">
        <w:t>.</w:t>
      </w:r>
    </w:p>
    <w:p w14:paraId="0CDE08C2" w14:textId="77777777" w:rsidR="00D1316A" w:rsidRPr="00D1316A" w:rsidRDefault="00D1316A" w:rsidP="00D04403">
      <w:pPr>
        <w:pStyle w:val="Heading3"/>
      </w:pPr>
      <w:r w:rsidRPr="00D1316A">
        <w:lastRenderedPageBreak/>
        <w:t xml:space="preserve">Chemistry Rescue Course </w:t>
      </w:r>
    </w:p>
    <w:p w14:paraId="3D02A449" w14:textId="77777777" w:rsidR="00D1316A" w:rsidRPr="00D1316A" w:rsidRDefault="00D1316A" w:rsidP="00D1316A">
      <w:r w:rsidRPr="00D1316A">
        <w:t>by Jillian Stafford</w:t>
      </w:r>
    </w:p>
    <w:p w14:paraId="365EAF2F" w14:textId="74FF4FB4" w:rsidR="00D1316A" w:rsidRPr="00D1316A" w:rsidRDefault="00D1316A" w:rsidP="00D1316A">
      <w:r w:rsidRPr="00D1316A">
        <w:t>CLASS: CHEM 1106 | Parachute Chem</w:t>
      </w:r>
      <w:r w:rsidR="00EB0733">
        <w:t>istry</w:t>
      </w:r>
    </w:p>
    <w:p w14:paraId="04E678F8" w14:textId="54E09A65" w:rsidR="00D1316A" w:rsidRPr="00D1316A" w:rsidRDefault="00D1316A" w:rsidP="00D1316A">
      <w:r w:rsidRPr="00D1316A">
        <w:t>This project strengthens the “parachute course” in chemistry—designed for students who struggle in General Chemistry I and need a second chance mid-semester. Instead of withdrawing or failing, students transfer into this course, wipe the slate clean, and rebuild their foundation before retaking chemistry in the future. To support student learning, new lecture videos are being created that align directly with the updated chemistry textbook. These videos break down complex concepts and reinforce active learning skills. It also allows students to learn at their own pace while practicing note-taking and problem-solving strategies. The parachute course has already shown major success: students who take it are more likely to retake General Chemistry I successfully and far more likely to graduate from UNM. By improving the videos and adding accessibility features like captions and visual descriptions, this project ensures even more students will have the tools they need to thrive in chemistry and beyond.</w:t>
      </w:r>
    </w:p>
    <w:p w14:paraId="31B1DAD7" w14:textId="77777777" w:rsidR="00D1316A" w:rsidRPr="00D1316A" w:rsidRDefault="00D1316A" w:rsidP="00D04403">
      <w:pPr>
        <w:pStyle w:val="Heading3"/>
      </w:pPr>
      <w:r w:rsidRPr="00D1316A">
        <w:t>Architectural Theory</w:t>
      </w:r>
    </w:p>
    <w:p w14:paraId="0F252C92" w14:textId="77777777" w:rsidR="00D1316A" w:rsidRPr="00D1316A" w:rsidRDefault="00D1316A" w:rsidP="00D1316A">
      <w:r w:rsidRPr="00D1316A">
        <w:t>by Alexander Webb</w:t>
      </w:r>
    </w:p>
    <w:p w14:paraId="478FEE75" w14:textId="0F50AA25" w:rsidR="00D1316A" w:rsidRPr="00D1316A" w:rsidRDefault="00D1316A" w:rsidP="00D1316A">
      <w:r w:rsidRPr="00D1316A">
        <w:t>CLASS: ARCH 624 | Architectural Theory</w:t>
      </w:r>
    </w:p>
    <w:p w14:paraId="249C093C" w14:textId="2350C027" w:rsidR="00D1316A" w:rsidRPr="00D1316A" w:rsidRDefault="00D1316A" w:rsidP="00D1316A">
      <w:r w:rsidRPr="00D1316A">
        <w:t>This required course in the Master of Architecture program is expanding beyond the traditional Western European canon to include Indigenous and non-colonial perspectives, highlighting the diverse voices and cultural context of New Mexico and UNM. As part of this project, students will not only engage with key architectural texts but also help shape the future of the course. Through feedback and participation, you’ll directly influence how readings, activities, and class discussions develop. By taking ARCH 624, you’ll gain a deeper understanding of the values and ideas that shape design practices—and contribute to creating a more inclusive and forward-looking approach to architectural theory.</w:t>
      </w:r>
    </w:p>
    <w:p w14:paraId="07023C02" w14:textId="77777777" w:rsidR="00D1316A" w:rsidRPr="00D1316A" w:rsidRDefault="00D1316A" w:rsidP="00D04403">
      <w:pPr>
        <w:pStyle w:val="Heading3"/>
      </w:pPr>
      <w:r w:rsidRPr="00D1316A">
        <w:t>Pre-Modern Global Art History</w:t>
      </w:r>
    </w:p>
    <w:p w14:paraId="7BC4BE7D" w14:textId="77777777" w:rsidR="00D1316A" w:rsidRPr="00D1316A" w:rsidRDefault="00D1316A" w:rsidP="00D1316A">
      <w:r w:rsidRPr="00D1316A">
        <w:t>by Justine M. Andrews</w:t>
      </w:r>
    </w:p>
    <w:p w14:paraId="6BE84F46" w14:textId="0BF46685" w:rsidR="00D1316A" w:rsidRPr="00D1316A" w:rsidRDefault="00D1316A" w:rsidP="00D1316A">
      <w:r w:rsidRPr="00D1316A">
        <w:t>CLASS: ARTH 2110 | History of Art I</w:t>
      </w:r>
    </w:p>
    <w:p w14:paraId="3A0DAD78" w14:textId="7BD6462E" w:rsidR="00D1316A" w:rsidRPr="00D1316A" w:rsidRDefault="00D1316A" w:rsidP="00D1316A">
      <w:r w:rsidRPr="00D1316A">
        <w:t>This project is reshaping the way students experience introductory art history. Instead of centering Europe—as most traditional textbooks do—these materials highlight cultures across the globe, with units organized around continents and cultural regions. Africa, Asia, and the Americas receive equal focus, creating a more balanced and meaningful global survey. Students will read works by a diverse group of scholars, gaining perspectives that challenge the long-standing Eurocentric narrative of art history. For example, Islamic art is no longer treated as a single chapter—it appears throughout multiple units, showing its ongoing influence across regions and time. As the project develops, student feedback will guide revisions, helping refine readings, activities, and course design. The goal is to build accessible, culturally relevant, and engaging course materials that not only support today’s students but also strengthen the way art history is taught in the future.</w:t>
      </w:r>
    </w:p>
    <w:p w14:paraId="26199001" w14:textId="77777777" w:rsidR="00D1316A" w:rsidRPr="00D1316A" w:rsidRDefault="00D1316A" w:rsidP="00D04403">
      <w:pPr>
        <w:pStyle w:val="Heading3"/>
      </w:pPr>
      <w:r w:rsidRPr="00D1316A">
        <w:t>Expanded Course-Based Undergraduate Research Experience (ECURE)</w:t>
      </w:r>
    </w:p>
    <w:p w14:paraId="3DB64902" w14:textId="77777777" w:rsidR="00D1316A" w:rsidRPr="00D1316A" w:rsidRDefault="00D1316A" w:rsidP="00D1316A">
      <w:r w:rsidRPr="00D1316A">
        <w:t>by K. Joseph Ho</w:t>
      </w:r>
    </w:p>
    <w:p w14:paraId="664F5CA7" w14:textId="609FF1BA" w:rsidR="00D1316A" w:rsidRPr="00D1316A" w:rsidRDefault="00D1316A" w:rsidP="00D1316A">
      <w:r w:rsidRPr="00D1316A">
        <w:lastRenderedPageBreak/>
        <w:t>CLASS: CHEM 1215L/CHEM 1225L | General Chemistry Labs for STEM Majors</w:t>
      </w:r>
    </w:p>
    <w:p w14:paraId="73094E20" w14:textId="27A23102" w:rsidR="00D1316A" w:rsidRPr="00D1316A" w:rsidRDefault="00D1316A" w:rsidP="00D1316A">
      <w:r w:rsidRPr="00D1316A">
        <w:t>This innovative laboratory manual transforms the traditional general chemistry lab into a research-rich, discovery-driven experience designed for STEM majors. Built on the Expanded Course-Based Undergraduate Research Experience (ECURE) framework, it guides students through the essential elements of authentic research: background gathering, ethical awareness, freedom of discovery, evidence preparation, collaboration, real-world application, iteration through failure, and outcome novelty. Unlike standard “cookbook” labs, this manual empowers students to think and work like scientists from the very beginning of their undergraduate studies. Clear instructions, embedded guidance, and flexible project structures encourage active inquiry, critical thinking, and teamwork while maintaining the rigor of foundational general chemistry. Whether students are preparing for future research, professional school, or STEM careers, this manual fosters the confidence, skills, and curiosity necessary for success. By blending structure with open-ended exploration, ECURE for General Chemistry brings the excitement of authentic research into the introductory laboratory, helping students see chemistry not just as a subject to learn, but as a science to practice.</w:t>
      </w:r>
    </w:p>
    <w:p w14:paraId="1E049EC1" w14:textId="77777777" w:rsidR="00D1316A" w:rsidRPr="00D1316A" w:rsidRDefault="00D1316A" w:rsidP="00D04403">
      <w:pPr>
        <w:pStyle w:val="Heading3"/>
      </w:pPr>
      <w:r w:rsidRPr="00D1316A">
        <w:t>Early World Literature: A Restorative Justice Approach</w:t>
      </w:r>
    </w:p>
    <w:p w14:paraId="324B1866" w14:textId="77777777" w:rsidR="00D1316A" w:rsidRPr="00D1316A" w:rsidRDefault="00D1316A" w:rsidP="00D1316A">
      <w:r w:rsidRPr="00D1316A">
        <w:t xml:space="preserve">by Nahir </w:t>
      </w:r>
      <w:proofErr w:type="spellStart"/>
      <w:r w:rsidRPr="00D1316A">
        <w:t>Otaño</w:t>
      </w:r>
      <w:proofErr w:type="spellEnd"/>
      <w:r w:rsidRPr="00D1316A">
        <w:t>-Gracia &amp; Averie Basch</w:t>
      </w:r>
    </w:p>
    <w:p w14:paraId="143ED9CB" w14:textId="04E6C9AC" w:rsidR="00D1316A" w:rsidRPr="00D1316A" w:rsidRDefault="00D1316A" w:rsidP="00D1316A">
      <w:r w:rsidRPr="00D1316A">
        <w:t>CLASS: ENGL 2650 | World Literature I</w:t>
      </w:r>
    </w:p>
    <w:p w14:paraId="24D37F30" w14:textId="70748BE2" w:rsidR="00D1316A" w:rsidRPr="00D1316A" w:rsidRDefault="00D1316A" w:rsidP="00D1316A">
      <w:r w:rsidRPr="00D1316A">
        <w:t>This book introduces a new framework to teach Early world literature. Through the concept of Restorative Justice (RJ), this book begins with the premise that we need community to feel heard, we need community to be empowered, and we need community to want forgiveness and accountability. RJ provides a different perspective to conflict resolution than what we often prioritize in literature classrooms; it encourages us to consider why it is that the communities that created these texts found them so appealing and why it is that our modern communities continue to find them important. The answers vary from text to text: humans err and can make mistakes (Gilgamesh), storytelling creates healing and everyone deserves a chance at redemption (A Thousand and One Nights, also known as The Arabian Nights), poetry creates transtemporal solidarity by evoking similar feelings in past as well as present-day readers (poetry of the Tang period). The Image (above) is a Babylonian tablet titled The Map of the World (6th Century BC). It depicts Mesopotamia (Babylonia, Assyria) and Urartu (Armenia) and includes labels for place names in cuneiform.</w:t>
      </w:r>
    </w:p>
    <w:p w14:paraId="4F910C1B" w14:textId="77777777" w:rsidR="00D1316A" w:rsidRPr="00D1316A" w:rsidRDefault="00D1316A" w:rsidP="00D04403">
      <w:pPr>
        <w:pStyle w:val="Heading3"/>
      </w:pPr>
      <w:proofErr w:type="spellStart"/>
      <w:r w:rsidRPr="00D1316A">
        <w:t>Tuungane</w:t>
      </w:r>
      <w:proofErr w:type="spellEnd"/>
    </w:p>
    <w:p w14:paraId="0A8A3BF5" w14:textId="77777777" w:rsidR="00D1316A" w:rsidRPr="00D1316A" w:rsidRDefault="00D1316A" w:rsidP="00D1316A">
      <w:r w:rsidRPr="00D1316A">
        <w:t xml:space="preserve">by Peter </w:t>
      </w:r>
      <w:proofErr w:type="spellStart"/>
      <w:r w:rsidRPr="00D1316A">
        <w:t>Njagi</w:t>
      </w:r>
      <w:proofErr w:type="spellEnd"/>
    </w:p>
    <w:p w14:paraId="42274DCB" w14:textId="7BA0A10C" w:rsidR="00D1316A" w:rsidRPr="00D1316A" w:rsidRDefault="00D1316A" w:rsidP="00D1316A">
      <w:r w:rsidRPr="00D1316A">
        <w:t>CLASS: SWAH 1110 | Introduction to Swahili</w:t>
      </w:r>
    </w:p>
    <w:p w14:paraId="5C4F30AF" w14:textId="5BE9D562" w:rsidR="00D1316A" w:rsidRPr="00D1316A" w:rsidRDefault="00D1316A" w:rsidP="00D1316A">
      <w:r w:rsidRPr="00D1316A">
        <w:t xml:space="preserve">This project is creating the first comprehensive Swahili learning resource at UNM, designed to celebrate the richness of the language and culture rather than repeat the stereotypes found in many existing materials. Swahili is one of the fastest-growing global languages, spoken by millions across East Africa, and its study opens doors to international communication, cultural exchange, and global opportunities. Students will explore language alongside history, geography, politics, and culture, making meaningful connections between the Southwest U.S. and the Swahili-speaking world. The resource will also prepare learners for study abroad opportunities in Kenya and support UNM community members conducting research in East Africa. By blending linguistic learning with cultural understanding, this project </w:t>
      </w:r>
      <w:r w:rsidRPr="00D1316A">
        <w:lastRenderedPageBreak/>
        <w:t>empowers students to see Swahili not just as a language course, but as a bridge to global engagement, collaboration, and belonging.</w:t>
      </w:r>
    </w:p>
    <w:p w14:paraId="1B0E9595" w14:textId="77777777" w:rsidR="00D1316A" w:rsidRPr="00D1316A" w:rsidRDefault="00D1316A" w:rsidP="00D04403">
      <w:pPr>
        <w:pStyle w:val="Heading3"/>
      </w:pPr>
      <w:r w:rsidRPr="00D1316A">
        <w:t>Laboratory Data Analysis</w:t>
      </w:r>
    </w:p>
    <w:p w14:paraId="198D2469" w14:textId="77777777" w:rsidR="00D1316A" w:rsidRPr="00D1316A" w:rsidRDefault="00D1316A" w:rsidP="00D1316A">
      <w:r w:rsidRPr="00D1316A">
        <w:t>by Stephen Cabaniss</w:t>
      </w:r>
    </w:p>
    <w:p w14:paraId="34ABFB4D" w14:textId="3D99B594" w:rsidR="00D1316A" w:rsidRPr="00D1316A" w:rsidRDefault="00D1316A" w:rsidP="00D1316A">
      <w:r w:rsidRPr="00D1316A">
        <w:t>CLASS: CHEM 2310C | Quantitative Analysis Lecture and Laboratory</w:t>
      </w:r>
    </w:p>
    <w:p w14:paraId="4CD7BDBD" w14:textId="5B2A8545" w:rsidR="00D1316A" w:rsidRPr="00D1316A" w:rsidRDefault="00D1316A" w:rsidP="00D1316A">
      <w:r w:rsidRPr="00D1316A">
        <w:t>Laboratory Data Analysis introduces the calculations and procedures used in laboratory work to design, execute and analyze quantitative experimental results. This book is intended for college and university students with a modest mathematical background who are beginning lab classes or research. The initial chapters review Gaussian probability and the concepts of experimental accuracy and precision, including the use of standard deviation to represent uncertainty. Propagation of uncertainty is introduced as a method of predicting and minimizing uncertainty in calculated results. Basic hypothesis testing and the use of common statistical tests (t-tests and confidence intervals of means, outlier and precision testing) are introduced along with typical applications in the lab. Linear regression is introduced, emphasizing applications to instrument calibration and analytical figures of merit. Worked examples and homework problems with answer key are included in each chapter.</w:t>
      </w:r>
    </w:p>
    <w:p w14:paraId="749804EF" w14:textId="77777777" w:rsidR="00D1316A" w:rsidRPr="00D1316A" w:rsidRDefault="00D1316A" w:rsidP="00D04403">
      <w:pPr>
        <w:pStyle w:val="Heading3"/>
      </w:pPr>
      <w:r w:rsidRPr="00D1316A">
        <w:t>MATH 100 Redesign</w:t>
      </w:r>
    </w:p>
    <w:p w14:paraId="07023C7D" w14:textId="77777777" w:rsidR="00D1316A" w:rsidRPr="00D1316A" w:rsidRDefault="00D1316A" w:rsidP="00D1316A">
      <w:r w:rsidRPr="00D1316A">
        <w:t>by Karon Klipple &amp; Cheryl Hedden</w:t>
      </w:r>
    </w:p>
    <w:p w14:paraId="09478D39" w14:textId="1F00E28D" w:rsidR="00D1316A" w:rsidRPr="00D1316A" w:rsidRDefault="00D1316A" w:rsidP="00D1316A">
      <w:r w:rsidRPr="00D1316A">
        <w:t>CLASS: MATH 100 | Introduction to Algebra | TAOS Campus</w:t>
      </w:r>
    </w:p>
    <w:p w14:paraId="00000CAD" w14:textId="7A84CE2B" w:rsidR="00D1316A" w:rsidRPr="00D1316A" w:rsidRDefault="00D1316A" w:rsidP="00D1316A">
      <w:r w:rsidRPr="00D1316A">
        <w:t>Math 100 at the University of New Mexico is a foundational course that prepares students for Intermediate Algebra (Math 1215) by strengthening core skills and emphasizing real-world applications. The course is organized into five progressive modules. It begins with percentages, focusing on representation, problem-solving, and calculating increases and decreases. Students then move to rational numbers and equations, practicing operations with positive and negative numbers and solving linear equations. The third module develops understanding of linear relationships, including graphing, slope, and intercepts. The fourth introduces exponents and polynomials, covering exponential functions, simplifying expressions, and scientific notation. The final module explores geometry concepts such as area, perimeter, surface area, and volume. Each module is reinforced with workbooks, assessments, and instructional resources that encourage self-paced study. By the course’s end, students gain proficiency in arithmetic, algebraic manipulation, and mathematical modeling. This foundation enables them to interpret and solve practical problems while building the academic skills essential for success in higher-level mathematics.</w:t>
      </w:r>
    </w:p>
    <w:p w14:paraId="6F73DEFD" w14:textId="77777777" w:rsidR="00D1316A" w:rsidRPr="00D1316A" w:rsidRDefault="00D1316A" w:rsidP="00D04403">
      <w:pPr>
        <w:pStyle w:val="Heading3"/>
      </w:pPr>
      <w:r w:rsidRPr="00D1316A">
        <w:t>Teaching Writing to Children and Adolescents</w:t>
      </w:r>
    </w:p>
    <w:p w14:paraId="4B3E8EB0" w14:textId="77777777" w:rsidR="00D1316A" w:rsidRPr="00D1316A" w:rsidRDefault="00D1316A" w:rsidP="00D1316A">
      <w:r w:rsidRPr="00D1316A">
        <w:t>by Mary Rice</w:t>
      </w:r>
    </w:p>
    <w:p w14:paraId="53E64340" w14:textId="0693A55E" w:rsidR="00D1316A" w:rsidRPr="00D1316A" w:rsidRDefault="00D1316A" w:rsidP="00D1316A">
      <w:r w:rsidRPr="00D1316A">
        <w:t>CLASS: LLSS 430/527 | Teaching Writing to Children and Adolescents</w:t>
      </w:r>
    </w:p>
    <w:p w14:paraId="693BCBA1" w14:textId="12D0A4EF" w:rsidR="00D1316A" w:rsidRPr="00D1316A" w:rsidRDefault="00D1316A" w:rsidP="00D1316A">
      <w:r w:rsidRPr="00D1316A">
        <w:t xml:space="preserve">The purpose of this book about teaching writing to children and adolescents is to address the act of writing as literacies that grow beyond English linguistics and rhetorical composition structures. Chapters in the book address socio-contextual and sociopolitical issues of what is called writing and who is allowed to write and call themselves as writers. Some additional topics for chapters include issues of trauma as it is induced by and through writing; writing as it emerges—particularly for multilingual </w:t>
      </w:r>
      <w:r w:rsidRPr="00D1316A">
        <w:lastRenderedPageBreak/>
        <w:t>children and children identified with cognitive, social and emotional differences; heritage languages and multilingual writing; rethinking assessment of writing; and using technologies as part of writing—including how technologies tug at historical notions of intellectual property, identity, and ownership.</w:t>
      </w:r>
    </w:p>
    <w:sectPr w:rsidR="00D1316A" w:rsidRPr="00D13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C6"/>
    <w:rsid w:val="001157F0"/>
    <w:rsid w:val="007B7E8A"/>
    <w:rsid w:val="008C4DFC"/>
    <w:rsid w:val="00D04403"/>
    <w:rsid w:val="00D1316A"/>
    <w:rsid w:val="00EB0733"/>
    <w:rsid w:val="00F51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9895"/>
  <w15:chartTrackingRefBased/>
  <w15:docId w15:val="{8D7A30DE-E17A-4850-99E4-15FFA59D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4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44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44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cmg">
    <w:name w:val="a_gcmg"/>
    <w:basedOn w:val="DefaultParagraphFont"/>
    <w:rsid w:val="00F514C6"/>
  </w:style>
  <w:style w:type="character" w:styleId="Hyperlink">
    <w:name w:val="Hyperlink"/>
    <w:basedOn w:val="DefaultParagraphFont"/>
    <w:uiPriority w:val="99"/>
    <w:unhideWhenUsed/>
    <w:rsid w:val="00D1316A"/>
    <w:rPr>
      <w:color w:val="0563C1" w:themeColor="hyperlink"/>
      <w:u w:val="single"/>
    </w:rPr>
  </w:style>
  <w:style w:type="character" w:styleId="UnresolvedMention">
    <w:name w:val="Unresolved Mention"/>
    <w:basedOn w:val="DefaultParagraphFont"/>
    <w:uiPriority w:val="99"/>
    <w:semiHidden/>
    <w:unhideWhenUsed/>
    <w:rsid w:val="00D1316A"/>
    <w:rPr>
      <w:color w:val="605E5C"/>
      <w:shd w:val="clear" w:color="auto" w:fill="E1DFDD"/>
    </w:rPr>
  </w:style>
  <w:style w:type="character" w:customStyle="1" w:styleId="Heading1Char">
    <w:name w:val="Heading 1 Char"/>
    <w:basedOn w:val="DefaultParagraphFont"/>
    <w:link w:val="Heading1"/>
    <w:uiPriority w:val="9"/>
    <w:rsid w:val="00D0440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044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40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0440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0440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6727">
      <w:bodyDiv w:val="1"/>
      <w:marLeft w:val="0"/>
      <w:marRight w:val="0"/>
      <w:marTop w:val="0"/>
      <w:marBottom w:val="0"/>
      <w:divBdr>
        <w:top w:val="none" w:sz="0" w:space="0" w:color="auto"/>
        <w:left w:val="none" w:sz="0" w:space="0" w:color="auto"/>
        <w:bottom w:val="none" w:sz="0" w:space="0" w:color="auto"/>
        <w:right w:val="none" w:sz="0" w:space="0" w:color="auto"/>
      </w:divBdr>
    </w:div>
    <w:div w:id="202400864">
      <w:bodyDiv w:val="1"/>
      <w:marLeft w:val="0"/>
      <w:marRight w:val="0"/>
      <w:marTop w:val="0"/>
      <w:marBottom w:val="0"/>
      <w:divBdr>
        <w:top w:val="none" w:sz="0" w:space="0" w:color="auto"/>
        <w:left w:val="none" w:sz="0" w:space="0" w:color="auto"/>
        <w:bottom w:val="none" w:sz="0" w:space="0" w:color="auto"/>
        <w:right w:val="none" w:sz="0" w:space="0" w:color="auto"/>
      </w:divBdr>
    </w:div>
    <w:div w:id="240406287">
      <w:bodyDiv w:val="1"/>
      <w:marLeft w:val="0"/>
      <w:marRight w:val="0"/>
      <w:marTop w:val="0"/>
      <w:marBottom w:val="0"/>
      <w:divBdr>
        <w:top w:val="none" w:sz="0" w:space="0" w:color="auto"/>
        <w:left w:val="none" w:sz="0" w:space="0" w:color="auto"/>
        <w:bottom w:val="none" w:sz="0" w:space="0" w:color="auto"/>
        <w:right w:val="none" w:sz="0" w:space="0" w:color="auto"/>
      </w:divBdr>
    </w:div>
    <w:div w:id="325673959">
      <w:bodyDiv w:val="1"/>
      <w:marLeft w:val="0"/>
      <w:marRight w:val="0"/>
      <w:marTop w:val="0"/>
      <w:marBottom w:val="0"/>
      <w:divBdr>
        <w:top w:val="none" w:sz="0" w:space="0" w:color="auto"/>
        <w:left w:val="none" w:sz="0" w:space="0" w:color="auto"/>
        <w:bottom w:val="none" w:sz="0" w:space="0" w:color="auto"/>
        <w:right w:val="none" w:sz="0" w:space="0" w:color="auto"/>
      </w:divBdr>
    </w:div>
    <w:div w:id="348723541">
      <w:bodyDiv w:val="1"/>
      <w:marLeft w:val="0"/>
      <w:marRight w:val="0"/>
      <w:marTop w:val="0"/>
      <w:marBottom w:val="0"/>
      <w:divBdr>
        <w:top w:val="none" w:sz="0" w:space="0" w:color="auto"/>
        <w:left w:val="none" w:sz="0" w:space="0" w:color="auto"/>
        <w:bottom w:val="none" w:sz="0" w:space="0" w:color="auto"/>
        <w:right w:val="none" w:sz="0" w:space="0" w:color="auto"/>
      </w:divBdr>
    </w:div>
    <w:div w:id="369572399">
      <w:bodyDiv w:val="1"/>
      <w:marLeft w:val="0"/>
      <w:marRight w:val="0"/>
      <w:marTop w:val="0"/>
      <w:marBottom w:val="0"/>
      <w:divBdr>
        <w:top w:val="none" w:sz="0" w:space="0" w:color="auto"/>
        <w:left w:val="none" w:sz="0" w:space="0" w:color="auto"/>
        <w:bottom w:val="none" w:sz="0" w:space="0" w:color="auto"/>
        <w:right w:val="none" w:sz="0" w:space="0" w:color="auto"/>
      </w:divBdr>
    </w:div>
    <w:div w:id="434519551">
      <w:bodyDiv w:val="1"/>
      <w:marLeft w:val="0"/>
      <w:marRight w:val="0"/>
      <w:marTop w:val="0"/>
      <w:marBottom w:val="0"/>
      <w:divBdr>
        <w:top w:val="none" w:sz="0" w:space="0" w:color="auto"/>
        <w:left w:val="none" w:sz="0" w:space="0" w:color="auto"/>
        <w:bottom w:val="none" w:sz="0" w:space="0" w:color="auto"/>
        <w:right w:val="none" w:sz="0" w:space="0" w:color="auto"/>
      </w:divBdr>
    </w:div>
    <w:div w:id="623002670">
      <w:bodyDiv w:val="1"/>
      <w:marLeft w:val="0"/>
      <w:marRight w:val="0"/>
      <w:marTop w:val="0"/>
      <w:marBottom w:val="0"/>
      <w:divBdr>
        <w:top w:val="none" w:sz="0" w:space="0" w:color="auto"/>
        <w:left w:val="none" w:sz="0" w:space="0" w:color="auto"/>
        <w:bottom w:val="none" w:sz="0" w:space="0" w:color="auto"/>
        <w:right w:val="none" w:sz="0" w:space="0" w:color="auto"/>
      </w:divBdr>
    </w:div>
    <w:div w:id="783305402">
      <w:bodyDiv w:val="1"/>
      <w:marLeft w:val="0"/>
      <w:marRight w:val="0"/>
      <w:marTop w:val="0"/>
      <w:marBottom w:val="0"/>
      <w:divBdr>
        <w:top w:val="none" w:sz="0" w:space="0" w:color="auto"/>
        <w:left w:val="none" w:sz="0" w:space="0" w:color="auto"/>
        <w:bottom w:val="none" w:sz="0" w:space="0" w:color="auto"/>
        <w:right w:val="none" w:sz="0" w:space="0" w:color="auto"/>
      </w:divBdr>
    </w:div>
    <w:div w:id="946156717">
      <w:bodyDiv w:val="1"/>
      <w:marLeft w:val="0"/>
      <w:marRight w:val="0"/>
      <w:marTop w:val="0"/>
      <w:marBottom w:val="0"/>
      <w:divBdr>
        <w:top w:val="none" w:sz="0" w:space="0" w:color="auto"/>
        <w:left w:val="none" w:sz="0" w:space="0" w:color="auto"/>
        <w:bottom w:val="none" w:sz="0" w:space="0" w:color="auto"/>
        <w:right w:val="none" w:sz="0" w:space="0" w:color="auto"/>
      </w:divBdr>
    </w:div>
    <w:div w:id="1093555687">
      <w:bodyDiv w:val="1"/>
      <w:marLeft w:val="0"/>
      <w:marRight w:val="0"/>
      <w:marTop w:val="0"/>
      <w:marBottom w:val="0"/>
      <w:divBdr>
        <w:top w:val="none" w:sz="0" w:space="0" w:color="auto"/>
        <w:left w:val="none" w:sz="0" w:space="0" w:color="auto"/>
        <w:bottom w:val="none" w:sz="0" w:space="0" w:color="auto"/>
        <w:right w:val="none" w:sz="0" w:space="0" w:color="auto"/>
      </w:divBdr>
    </w:div>
    <w:div w:id="1179275993">
      <w:bodyDiv w:val="1"/>
      <w:marLeft w:val="0"/>
      <w:marRight w:val="0"/>
      <w:marTop w:val="0"/>
      <w:marBottom w:val="0"/>
      <w:divBdr>
        <w:top w:val="none" w:sz="0" w:space="0" w:color="auto"/>
        <w:left w:val="none" w:sz="0" w:space="0" w:color="auto"/>
        <w:bottom w:val="none" w:sz="0" w:space="0" w:color="auto"/>
        <w:right w:val="none" w:sz="0" w:space="0" w:color="auto"/>
      </w:divBdr>
    </w:div>
    <w:div w:id="1181433273">
      <w:bodyDiv w:val="1"/>
      <w:marLeft w:val="0"/>
      <w:marRight w:val="0"/>
      <w:marTop w:val="0"/>
      <w:marBottom w:val="0"/>
      <w:divBdr>
        <w:top w:val="none" w:sz="0" w:space="0" w:color="auto"/>
        <w:left w:val="none" w:sz="0" w:space="0" w:color="auto"/>
        <w:bottom w:val="none" w:sz="0" w:space="0" w:color="auto"/>
        <w:right w:val="none" w:sz="0" w:space="0" w:color="auto"/>
      </w:divBdr>
    </w:div>
    <w:div w:id="1630553186">
      <w:bodyDiv w:val="1"/>
      <w:marLeft w:val="0"/>
      <w:marRight w:val="0"/>
      <w:marTop w:val="0"/>
      <w:marBottom w:val="0"/>
      <w:divBdr>
        <w:top w:val="none" w:sz="0" w:space="0" w:color="auto"/>
        <w:left w:val="none" w:sz="0" w:space="0" w:color="auto"/>
        <w:bottom w:val="none" w:sz="0" w:space="0" w:color="auto"/>
        <w:right w:val="none" w:sz="0" w:space="0" w:color="auto"/>
      </w:divBdr>
    </w:div>
    <w:div w:id="16404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er@unm.edu" TargetMode="External"/><Relationship Id="rId3" Type="http://schemas.openxmlformats.org/officeDocument/2006/relationships/webSettings" Target="webSettings.xml"/><Relationship Id="rId7" Type="http://schemas.openxmlformats.org/officeDocument/2006/relationships/hyperlink" Target="http://www.NMOE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bguides.unm.edu/OERgrantprogram" TargetMode="External"/><Relationship Id="rId11" Type="http://schemas.openxmlformats.org/officeDocument/2006/relationships/theme" Target="theme/theme1.xml"/><Relationship Id="rId5" Type="http://schemas.openxmlformats.org/officeDocument/2006/relationships/hyperlink" Target="https://creativecommons.org/" TargetMode="External"/><Relationship Id="rId10" Type="http://schemas.openxmlformats.org/officeDocument/2006/relationships/fontTable" Target="fontTable.xml"/><Relationship Id="rId4" Type="http://schemas.openxmlformats.org/officeDocument/2006/relationships/hyperlink" Target="https://oercommons.org/" TargetMode="External"/><Relationship Id="rId9" Type="http://schemas.openxmlformats.org/officeDocument/2006/relationships/hyperlink" Target="http://www.linktr.ee/nmo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Sammi Williams</dc:creator>
  <cp:keywords/>
  <dc:description/>
  <cp:lastModifiedBy>Sammi Williams</cp:lastModifiedBy>
  <cp:revision>2</cp:revision>
  <dcterms:created xsi:type="dcterms:W3CDTF">2025-12-08T17:55:00Z</dcterms:created>
  <dcterms:modified xsi:type="dcterms:W3CDTF">2025-12-08T19:22:00Z</dcterms:modified>
</cp:coreProperties>
</file>